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DDCC4" w14:textId="0E12EF32" w:rsidR="006D3522" w:rsidRPr="00971CE8" w:rsidRDefault="00971CE8" w:rsidP="006D3522">
      <w:pPr>
        <w:tabs>
          <w:tab w:val="left" w:pos="2550"/>
        </w:tabs>
        <w:spacing w:after="0" w:line="276" w:lineRule="auto"/>
        <w:rPr>
          <w:rFonts w:ascii="Lato" w:hAnsi="Lato" w:cs="Arial"/>
          <w:b/>
          <w:bCs/>
          <w:sz w:val="20"/>
          <w:szCs w:val="20"/>
        </w:rPr>
      </w:pPr>
      <w:r w:rsidRPr="00971CE8">
        <w:rPr>
          <w:rFonts w:ascii="Lato" w:hAnsi="Lato" w:cs="Arial"/>
          <w:b/>
          <w:bCs/>
          <w:sz w:val="20"/>
          <w:szCs w:val="20"/>
        </w:rPr>
        <w:t xml:space="preserve">SZOZ.260 – </w:t>
      </w:r>
      <w:r w:rsidR="00AE6B5F">
        <w:rPr>
          <w:rFonts w:ascii="Lato" w:hAnsi="Lato" w:cs="Arial"/>
          <w:b/>
          <w:bCs/>
          <w:sz w:val="20"/>
          <w:szCs w:val="20"/>
        </w:rPr>
        <w:t>11.</w:t>
      </w:r>
      <w:r w:rsidRPr="00971CE8">
        <w:rPr>
          <w:rFonts w:ascii="Lato" w:hAnsi="Lato" w:cs="Arial"/>
          <w:b/>
          <w:bCs/>
          <w:sz w:val="20"/>
          <w:szCs w:val="20"/>
        </w:rPr>
        <w:t>.2026</w:t>
      </w:r>
    </w:p>
    <w:p w14:paraId="335FA774" w14:textId="77777777" w:rsidR="00971CE8" w:rsidRDefault="00971CE8" w:rsidP="00A53DF6">
      <w:pPr>
        <w:tabs>
          <w:tab w:val="left" w:pos="2550"/>
        </w:tabs>
        <w:spacing w:after="0" w:line="276" w:lineRule="auto"/>
        <w:jc w:val="right"/>
        <w:rPr>
          <w:rFonts w:ascii="Calibri" w:hAnsi="Calibri" w:cs="Calibri"/>
          <w:sz w:val="18"/>
          <w:szCs w:val="18"/>
        </w:rPr>
      </w:pPr>
    </w:p>
    <w:p w14:paraId="1C903EA8" w14:textId="75FAD8E4" w:rsidR="006D3522" w:rsidRPr="00A53DF6" w:rsidRDefault="00A53DF6" w:rsidP="00A53DF6">
      <w:pPr>
        <w:tabs>
          <w:tab w:val="left" w:pos="2550"/>
        </w:tabs>
        <w:spacing w:after="0" w:line="276" w:lineRule="auto"/>
        <w:jc w:val="right"/>
        <w:rPr>
          <w:rFonts w:ascii="Calibri" w:hAnsi="Calibri" w:cs="Calibri"/>
          <w:sz w:val="18"/>
          <w:szCs w:val="18"/>
        </w:rPr>
      </w:pPr>
      <w:r w:rsidRPr="00A53DF6">
        <w:rPr>
          <w:rFonts w:ascii="Calibri" w:hAnsi="Calibri" w:cs="Calibri"/>
          <w:sz w:val="18"/>
          <w:szCs w:val="18"/>
        </w:rPr>
        <w:t>Załącznik nr 1</w:t>
      </w:r>
      <w:r w:rsidR="00532F7B">
        <w:rPr>
          <w:rFonts w:ascii="Calibri" w:hAnsi="Calibri" w:cs="Calibri"/>
          <w:sz w:val="18"/>
          <w:szCs w:val="18"/>
        </w:rPr>
        <w:t xml:space="preserve">b </w:t>
      </w:r>
      <w:r w:rsidRPr="00A53DF6">
        <w:rPr>
          <w:rFonts w:ascii="Calibri" w:hAnsi="Calibri" w:cs="Calibri"/>
          <w:sz w:val="18"/>
          <w:szCs w:val="18"/>
        </w:rPr>
        <w:t xml:space="preserve">do umowy </w:t>
      </w:r>
    </w:p>
    <w:p w14:paraId="615F5141" w14:textId="77777777" w:rsidR="00A53DF6" w:rsidRDefault="00A53DF6" w:rsidP="006D3522">
      <w:pPr>
        <w:tabs>
          <w:tab w:val="left" w:pos="2550"/>
        </w:tabs>
        <w:spacing w:after="0" w:line="276" w:lineRule="auto"/>
        <w:rPr>
          <w:rFonts w:ascii="Lato" w:hAnsi="Lato" w:cs="Arial"/>
          <w:b/>
          <w:bCs/>
        </w:rPr>
      </w:pPr>
    </w:p>
    <w:p w14:paraId="67301F75" w14:textId="2C8E1243" w:rsidR="00AC6C7C" w:rsidRPr="006D3522" w:rsidRDefault="00AC6C7C" w:rsidP="00A53DF6">
      <w:pPr>
        <w:tabs>
          <w:tab w:val="left" w:pos="2550"/>
        </w:tabs>
        <w:spacing w:after="0" w:line="276" w:lineRule="auto"/>
        <w:jc w:val="center"/>
        <w:rPr>
          <w:rFonts w:ascii="Lato" w:hAnsi="Lato" w:cs="Arial"/>
        </w:rPr>
      </w:pPr>
      <w:r w:rsidRPr="006D3522">
        <w:rPr>
          <w:rFonts w:ascii="Lato" w:hAnsi="Lato" w:cs="Arial"/>
          <w:b/>
          <w:bCs/>
        </w:rPr>
        <w:t>Opis przedmiotu zamówienia</w:t>
      </w:r>
      <w:r w:rsidRPr="006D3522">
        <w:rPr>
          <w:rFonts w:ascii="Lato" w:hAnsi="Lato" w:cs="Arial"/>
        </w:rPr>
        <w:t>:</w:t>
      </w:r>
    </w:p>
    <w:p w14:paraId="3C33BEF8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1.  Konstrukcja i typ | Komputer typu All-in-One (komponenty zintegrowane w obudowie monitora). Obudowa wykonana w standardzie biznesowym, wyposażona w regulowaną podstawę (regulacja wysokości oraz pochylenia ekranu). </w:t>
      </w:r>
      <w:r>
        <w:rPr>
          <w:rFonts w:ascii="Aptos" w:hAnsi="Aptos" w:cs="Segoe UI"/>
          <w:color w:val="242424"/>
        </w:rPr>
        <w:t xml:space="preserve"> – ilość sztuk 10</w:t>
      </w:r>
    </w:p>
    <w:p w14:paraId="2832066A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2.  Wyświetlacz | Ekran o przekątnej 27 cali, rozdzielczość natywna QHD (2560 x 1440). Matryca typu IPS lub równoważna z powłoką antyrefleksyjną (Anti-glare). Częstotliwość odświeżania minimum 120 Hz. Wbudowana sprzętowa redukcja emisji niebieskiego światła (potwierdzona certyfikatem niezależnej jednostki, np. TÜV Rheinland Low Blue Light Hardware Solution lub równoważnym). </w:t>
      </w:r>
    </w:p>
    <w:p w14:paraId="222CCD94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 3. Procesor Wielordzeniowy procesor x86 najnowszej generacji z wbudowanym dedykowanym układem wspomagania sztucznej inteligencji (NPU). Minimum 14 rdzeni fizycznych (minimum 6 rdzeni wydajnościowych P-core i 8 rdzeni energooszczędnych E-core). Taktowanie w trybie Turbo minimum 5.0 GHz. Pamięć podręczna (Cache) minimum 24 MB. Wydajność mierzona w teście PassMark dla procesora na poziomie minimum 39 000 punktów. </w:t>
      </w:r>
    </w:p>
    <w:p w14:paraId="2BD75BAB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 4. Zarządzanie sprzętowe | Pełna, sprzętowa technologia zdalnego zarządzania komputerem na poziomie przedsiębiorstwa – wymagane wsparcie dla standardu Intel vPro Enterprise lub w pełni równoważnego rozwiązania sprzętowego innego producenta (np. AMD PRO Manageability), umożliwiającego zarządzanie stacją poza pasmem (Out-of-Band). </w:t>
      </w:r>
    </w:p>
    <w:p w14:paraId="7FE46BBC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5.  Pamięć RAM | Minimum 32 GB pamięci RAM DDR5 działającej w trybie wielokanałowym. Architektura płyty głównej musi umożliwiać późniejszą rozbudowę pamięci do minimum 64 GB poprzez fabryczne gniazda SO-DIMM. </w:t>
      </w:r>
    </w:p>
    <w:p w14:paraId="79060979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 6.  Pamięć masowa (SSD) | Dysk SSD o pojemności minimum 512 GB M.2 NVMe PCIe. Architektura płyty głównej komputera musi fabrycznie oferować możliwość instalacji i jednoczesnej pracy do 3 niezależnych dysków SSD M.2 bez konieczności stosowania zewnętrznych adapterów. </w:t>
      </w:r>
    </w:p>
    <w:p w14:paraId="77A662A9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 7.  Kamera i Multimedia | Wbudowana kamera wideo o rozdzielczości minimum 5 MP ze zintegrowaną fizyczną osłoną prywatności (mechaniczny suwak lub konstrukcja chowana w obudowie). Wbudowane głośniki stereo oraz układ mikrofonów kierunkowych. Czytnik kart pamięci standardu minimum 3-w-1. </w:t>
      </w:r>
    </w:p>
    <w:p w14:paraId="4523E967" w14:textId="77777777" w:rsidR="00AC6C7C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 8. Łączność i porty | Karta sieci bezprzewodowej Wi-Fi 6E (802.11ax) lub nowsza z vPro + Bluetooth min. 5.3. Port sieciowy RJ45 1 Gb/s.</w:t>
      </w:r>
      <w:r>
        <w:rPr>
          <w:rFonts w:ascii="Aptos" w:hAnsi="Aptos" w:cs="Segoe UI"/>
          <w:color w:val="242424"/>
        </w:rPr>
        <w:t xml:space="preserve"> </w:t>
      </w:r>
      <w:r w:rsidRPr="00F103E7">
        <w:rPr>
          <w:rFonts w:ascii="Aptos" w:hAnsi="Aptos" w:cs="Segoe UI"/>
          <w:color w:val="242424"/>
        </w:rPr>
        <w:t>Fizyczne porty:</w:t>
      </w:r>
    </w:p>
    <w:p w14:paraId="0DBDDF93" w14:textId="77777777" w:rsidR="00AC6C7C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>• 2 x USB-A min. 10 Gbps (USB 3.2 Gen 2);</w:t>
      </w:r>
    </w:p>
    <w:p w14:paraId="4836C4FF" w14:textId="77777777" w:rsidR="00AC6C7C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lastRenderedPageBreak/>
        <w:t>• 2 x USB-A min. 5 Gbps (USB 3.2 Gen 1);</w:t>
      </w:r>
    </w:p>
    <w:p w14:paraId="7830461F" w14:textId="77777777" w:rsidR="00AC6C7C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>• 1 x USB-C Thunderbolt 4 / USB4 (40 Gbps) z obsługą DP i Power Delivery (PD 3.0) do min. 65W oraz funkcją AlwaysOn;</w:t>
      </w:r>
    </w:p>
    <w:p w14:paraId="6EFF0B25" w14:textId="77777777" w:rsidR="00AC6C7C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>• 1 x USB-C min. 10 Gbps z funkcją ładowania zewnętrznych urządzeń (min. 5V / 3A);</w:t>
      </w:r>
    </w:p>
    <w:p w14:paraId="495B7C42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• 1 x wejście lub wyjście HDMI oraz 1 x wejście lub wyjście DisplayPort. </w:t>
      </w:r>
    </w:p>
    <w:p w14:paraId="55BAC685" w14:textId="77777777" w:rsidR="00AC6C7C" w:rsidRPr="00F103E7" w:rsidRDefault="00AC6C7C" w:rsidP="00AC6C7C">
      <w:pPr>
        <w:pStyle w:val="xmsonormal"/>
        <w:shd w:val="clear" w:color="auto" w:fill="FFFFFF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9. Bezpieczeństwo i OS | Układ kryptograficzny TPM 2.0. Certyfikaty bezpieczeństwa standardu TCG oraz FIPS 140-2. System Microsoft Windows 11 Pro 64-bit PL preinstalowany fabrycznie (licencja OEM/ESD). </w:t>
      </w:r>
    </w:p>
    <w:p w14:paraId="795EAE49" w14:textId="77777777" w:rsidR="00AC6C7C" w:rsidRDefault="00AC6C7C" w:rsidP="00AC6C7C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>10. Gwarancja i Serwis  Gwarancja producenta na okres minimum 5 lat (60 miesięcy) typu On-Site NBD (w miejscu instalacji, następny dzień roboczy).</w:t>
      </w:r>
    </w:p>
    <w:p w14:paraId="40511BC8" w14:textId="77777777" w:rsidR="00AC6C7C" w:rsidRPr="00FC2AB1" w:rsidRDefault="00AC6C7C" w:rsidP="00AC6C7C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rFonts w:ascii="Aptos" w:hAnsi="Aptos" w:cs="Segoe UI"/>
          <w:color w:val="242424"/>
        </w:rPr>
      </w:pPr>
      <w:r w:rsidRPr="00F103E7">
        <w:rPr>
          <w:rFonts w:ascii="Aptos" w:hAnsi="Aptos" w:cs="Segoe UI"/>
          <w:color w:val="242424"/>
        </w:rPr>
        <w:t xml:space="preserve">Gwarancja musi bezwzględnie obejmować klauzulę pozostawienia uszkodzonego dysku twardego u klienta (Keep Your Hard Drive / Defective Media Retention) – w przypadku awarii nośnika danych, serwis dostarcza nowy dysk, a uszkodzony pozostaje własnością Zamawiającego. </w:t>
      </w:r>
    </w:p>
    <w:p w14:paraId="68EDA1CD" w14:textId="77777777" w:rsidR="00473380" w:rsidRDefault="00473380"/>
    <w:sectPr w:rsidR="0047338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47016" w14:textId="77777777" w:rsidR="001E735D" w:rsidRDefault="001E735D" w:rsidP="00A53DF6">
      <w:pPr>
        <w:spacing w:after="0" w:line="240" w:lineRule="auto"/>
      </w:pPr>
      <w:r>
        <w:separator/>
      </w:r>
    </w:p>
  </w:endnote>
  <w:endnote w:type="continuationSeparator" w:id="0">
    <w:p w14:paraId="60A40D92" w14:textId="77777777" w:rsidR="001E735D" w:rsidRDefault="001E735D" w:rsidP="00A53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E3E16" w14:textId="77777777" w:rsidR="001E735D" w:rsidRDefault="001E735D" w:rsidP="00A53DF6">
      <w:pPr>
        <w:spacing w:after="0" w:line="240" w:lineRule="auto"/>
      </w:pPr>
      <w:r>
        <w:separator/>
      </w:r>
    </w:p>
  </w:footnote>
  <w:footnote w:type="continuationSeparator" w:id="0">
    <w:p w14:paraId="31218E3B" w14:textId="77777777" w:rsidR="001E735D" w:rsidRDefault="001E735D" w:rsidP="00A53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F59D7" w14:textId="6EB930D4" w:rsidR="00A53DF6" w:rsidRDefault="00A53DF6">
    <w:pPr>
      <w:pStyle w:val="Nagwek"/>
    </w:pPr>
    <w:r>
      <w:rPr>
        <w:noProof/>
      </w:rPr>
      <w:drawing>
        <wp:inline distT="0" distB="0" distL="0" distR="0" wp14:anchorId="519314D9" wp14:editId="1293AEF6">
          <wp:extent cx="5731510" cy="620601"/>
          <wp:effectExtent l="0" t="0" r="2540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F45FD"/>
    <w:multiLevelType w:val="hybridMultilevel"/>
    <w:tmpl w:val="B418A732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2670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7C"/>
    <w:rsid w:val="001E735D"/>
    <w:rsid w:val="002318A0"/>
    <w:rsid w:val="003C0578"/>
    <w:rsid w:val="003D4DEC"/>
    <w:rsid w:val="00473380"/>
    <w:rsid w:val="00532F7B"/>
    <w:rsid w:val="005679D0"/>
    <w:rsid w:val="006D3522"/>
    <w:rsid w:val="00971CE8"/>
    <w:rsid w:val="00A53DF6"/>
    <w:rsid w:val="00AC6C7C"/>
    <w:rsid w:val="00AE6B5F"/>
    <w:rsid w:val="00B076D4"/>
    <w:rsid w:val="00BE7D76"/>
    <w:rsid w:val="00CA6781"/>
    <w:rsid w:val="00D870FC"/>
    <w:rsid w:val="00F14F13"/>
    <w:rsid w:val="00F7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7E07"/>
  <w15:chartTrackingRefBased/>
  <w15:docId w15:val="{38584C5E-B4CF-4AE7-9A62-40B35BFB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6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6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6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6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6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6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6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6C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C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C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C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C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C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6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6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6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6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6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6C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6C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6C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6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6C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6C7C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ny"/>
    <w:rsid w:val="00AC6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53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DF6"/>
  </w:style>
  <w:style w:type="paragraph" w:styleId="Stopka">
    <w:name w:val="footer"/>
    <w:basedOn w:val="Normalny"/>
    <w:link w:val="StopkaZnak"/>
    <w:uiPriority w:val="99"/>
    <w:unhideWhenUsed/>
    <w:rsid w:val="00A53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476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Zarańska</dc:creator>
  <cp:keywords/>
  <dc:description/>
  <cp:lastModifiedBy>Fatyga Przemysław</cp:lastModifiedBy>
  <cp:revision>7</cp:revision>
  <dcterms:created xsi:type="dcterms:W3CDTF">2026-07-06T06:07:00Z</dcterms:created>
  <dcterms:modified xsi:type="dcterms:W3CDTF">2026-10-06T06:32:00Z</dcterms:modified>
</cp:coreProperties>
</file>