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DCC4" w14:textId="3F0714F2" w:rsidR="006D3522" w:rsidRPr="00971CE8" w:rsidRDefault="00971CE8" w:rsidP="006D3522">
      <w:pPr>
        <w:tabs>
          <w:tab w:val="left" w:pos="2550"/>
        </w:tabs>
        <w:spacing w:after="0" w:line="276" w:lineRule="auto"/>
        <w:rPr>
          <w:rFonts w:ascii="Lato" w:hAnsi="Lato" w:cs="Arial"/>
          <w:b/>
          <w:bCs/>
          <w:sz w:val="20"/>
          <w:szCs w:val="20"/>
        </w:rPr>
      </w:pPr>
      <w:r w:rsidRPr="00971CE8">
        <w:rPr>
          <w:rFonts w:ascii="Lato" w:hAnsi="Lato" w:cs="Arial"/>
          <w:b/>
          <w:bCs/>
          <w:sz w:val="20"/>
          <w:szCs w:val="20"/>
        </w:rPr>
        <w:t>SZOZ.260 – 6.2026</w:t>
      </w:r>
    </w:p>
    <w:p w14:paraId="335FA774" w14:textId="77777777" w:rsidR="00971CE8" w:rsidRDefault="00971CE8" w:rsidP="00A53DF6">
      <w:pPr>
        <w:tabs>
          <w:tab w:val="left" w:pos="2550"/>
        </w:tabs>
        <w:spacing w:after="0" w:line="276" w:lineRule="auto"/>
        <w:jc w:val="right"/>
        <w:rPr>
          <w:rFonts w:ascii="Calibri" w:hAnsi="Calibri" w:cs="Calibri"/>
          <w:sz w:val="18"/>
          <w:szCs w:val="18"/>
        </w:rPr>
      </w:pPr>
    </w:p>
    <w:p w14:paraId="1C903EA8" w14:textId="75FAD8E4" w:rsidR="006D3522" w:rsidRPr="00A53DF6" w:rsidRDefault="00A53DF6" w:rsidP="00A53DF6">
      <w:pPr>
        <w:tabs>
          <w:tab w:val="left" w:pos="2550"/>
        </w:tabs>
        <w:spacing w:after="0" w:line="276" w:lineRule="auto"/>
        <w:jc w:val="right"/>
        <w:rPr>
          <w:rFonts w:ascii="Calibri" w:hAnsi="Calibri" w:cs="Calibri"/>
          <w:sz w:val="18"/>
          <w:szCs w:val="18"/>
        </w:rPr>
      </w:pPr>
      <w:r w:rsidRPr="00A53DF6">
        <w:rPr>
          <w:rFonts w:ascii="Calibri" w:hAnsi="Calibri" w:cs="Calibri"/>
          <w:sz w:val="18"/>
          <w:szCs w:val="18"/>
        </w:rPr>
        <w:t>Załącznik nr 1</w:t>
      </w:r>
      <w:r w:rsidR="00532F7B">
        <w:rPr>
          <w:rFonts w:ascii="Calibri" w:hAnsi="Calibri" w:cs="Calibri"/>
          <w:sz w:val="18"/>
          <w:szCs w:val="18"/>
        </w:rPr>
        <w:t xml:space="preserve">b </w:t>
      </w:r>
      <w:r w:rsidRPr="00A53DF6">
        <w:rPr>
          <w:rFonts w:ascii="Calibri" w:hAnsi="Calibri" w:cs="Calibri"/>
          <w:sz w:val="18"/>
          <w:szCs w:val="18"/>
        </w:rPr>
        <w:t xml:space="preserve">do umowy </w:t>
      </w:r>
    </w:p>
    <w:p w14:paraId="615F5141" w14:textId="77777777" w:rsidR="00A53DF6" w:rsidRDefault="00A53DF6" w:rsidP="006D3522">
      <w:pPr>
        <w:tabs>
          <w:tab w:val="left" w:pos="2550"/>
        </w:tabs>
        <w:spacing w:after="0" w:line="276" w:lineRule="auto"/>
        <w:rPr>
          <w:rFonts w:ascii="Lato" w:hAnsi="Lato" w:cs="Arial"/>
          <w:b/>
          <w:bCs/>
        </w:rPr>
      </w:pPr>
    </w:p>
    <w:p w14:paraId="67301F75" w14:textId="2C8E1243" w:rsidR="00AC6C7C" w:rsidRPr="006D3522" w:rsidRDefault="00AC6C7C" w:rsidP="00A53DF6">
      <w:pPr>
        <w:tabs>
          <w:tab w:val="left" w:pos="2550"/>
        </w:tabs>
        <w:spacing w:after="0" w:line="276" w:lineRule="auto"/>
        <w:jc w:val="center"/>
        <w:rPr>
          <w:rFonts w:ascii="Lato" w:hAnsi="Lato" w:cs="Arial"/>
        </w:rPr>
      </w:pPr>
      <w:r w:rsidRPr="006D3522">
        <w:rPr>
          <w:rFonts w:ascii="Lato" w:hAnsi="Lato" w:cs="Arial"/>
          <w:b/>
          <w:bCs/>
        </w:rPr>
        <w:t>Opis przedmiotu zamówienia</w:t>
      </w:r>
      <w:r w:rsidRPr="006D3522">
        <w:rPr>
          <w:rFonts w:ascii="Lato" w:hAnsi="Lato" w:cs="Arial"/>
        </w:rPr>
        <w:t>:</w:t>
      </w:r>
    </w:p>
    <w:p w14:paraId="3C33BEF8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1.  Konstrukcja i typ | Komputer typu </w:t>
      </w:r>
      <w:proofErr w:type="spellStart"/>
      <w:r w:rsidRPr="00F103E7">
        <w:rPr>
          <w:rFonts w:ascii="Aptos" w:hAnsi="Aptos" w:cs="Segoe UI"/>
          <w:color w:val="242424"/>
        </w:rPr>
        <w:t>All</w:t>
      </w:r>
      <w:proofErr w:type="spellEnd"/>
      <w:r w:rsidRPr="00F103E7">
        <w:rPr>
          <w:rFonts w:ascii="Aptos" w:hAnsi="Aptos" w:cs="Segoe UI"/>
          <w:color w:val="242424"/>
        </w:rPr>
        <w:t xml:space="preserve">-in-One (komponenty zintegrowane w obudowie monitora). Obudowa wykonana w standardzie biznesowym, wyposażona w regulowaną podstawę (regulacja wysokości oraz pochylenia ekranu). </w:t>
      </w:r>
      <w:r>
        <w:rPr>
          <w:rFonts w:ascii="Aptos" w:hAnsi="Aptos" w:cs="Segoe UI"/>
          <w:color w:val="242424"/>
        </w:rPr>
        <w:t xml:space="preserve"> – ilość sztuk 10</w:t>
      </w:r>
    </w:p>
    <w:p w14:paraId="2832066A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>2.  Wyświetlacz | Ekran o przekątnej 27 cali, rozdzielczość natywna QHD (2560 x 1440). Matryca typu IPS lub równoważna z powłoką antyrefleksyjną (</w:t>
      </w:r>
      <w:proofErr w:type="spellStart"/>
      <w:r w:rsidRPr="00F103E7">
        <w:rPr>
          <w:rFonts w:ascii="Aptos" w:hAnsi="Aptos" w:cs="Segoe UI"/>
          <w:color w:val="242424"/>
        </w:rPr>
        <w:t>Anti-glare</w:t>
      </w:r>
      <w:proofErr w:type="spellEnd"/>
      <w:r w:rsidRPr="00F103E7">
        <w:rPr>
          <w:rFonts w:ascii="Aptos" w:hAnsi="Aptos" w:cs="Segoe UI"/>
          <w:color w:val="242424"/>
        </w:rPr>
        <w:t xml:space="preserve">). Częstotliwość odświeżania minimum 120 </w:t>
      </w:r>
      <w:proofErr w:type="spellStart"/>
      <w:r w:rsidRPr="00F103E7">
        <w:rPr>
          <w:rFonts w:ascii="Aptos" w:hAnsi="Aptos" w:cs="Segoe UI"/>
          <w:color w:val="242424"/>
        </w:rPr>
        <w:t>Hz</w:t>
      </w:r>
      <w:proofErr w:type="spellEnd"/>
      <w:r w:rsidRPr="00F103E7">
        <w:rPr>
          <w:rFonts w:ascii="Aptos" w:hAnsi="Aptos" w:cs="Segoe UI"/>
          <w:color w:val="242424"/>
        </w:rPr>
        <w:t xml:space="preserve">. Wbudowana sprzętowa redukcja emisji niebieskiego światła (potwierdzona certyfikatem niezależnej jednostki, np. TÜV </w:t>
      </w:r>
      <w:proofErr w:type="spellStart"/>
      <w:r w:rsidRPr="00F103E7">
        <w:rPr>
          <w:rFonts w:ascii="Aptos" w:hAnsi="Aptos" w:cs="Segoe UI"/>
          <w:color w:val="242424"/>
        </w:rPr>
        <w:t>Rheinland</w:t>
      </w:r>
      <w:proofErr w:type="spellEnd"/>
      <w:r w:rsidRPr="00F103E7">
        <w:rPr>
          <w:rFonts w:ascii="Aptos" w:hAnsi="Aptos" w:cs="Segoe UI"/>
          <w:color w:val="242424"/>
        </w:rPr>
        <w:t xml:space="preserve"> </w:t>
      </w:r>
      <w:proofErr w:type="spellStart"/>
      <w:r w:rsidRPr="00F103E7">
        <w:rPr>
          <w:rFonts w:ascii="Aptos" w:hAnsi="Aptos" w:cs="Segoe UI"/>
          <w:color w:val="242424"/>
        </w:rPr>
        <w:t>Low</w:t>
      </w:r>
      <w:proofErr w:type="spellEnd"/>
      <w:r w:rsidRPr="00F103E7">
        <w:rPr>
          <w:rFonts w:ascii="Aptos" w:hAnsi="Aptos" w:cs="Segoe UI"/>
          <w:color w:val="242424"/>
        </w:rPr>
        <w:t xml:space="preserve"> Blue </w:t>
      </w:r>
      <w:proofErr w:type="spellStart"/>
      <w:r w:rsidRPr="00F103E7">
        <w:rPr>
          <w:rFonts w:ascii="Aptos" w:hAnsi="Aptos" w:cs="Segoe UI"/>
          <w:color w:val="242424"/>
        </w:rPr>
        <w:t>Light</w:t>
      </w:r>
      <w:proofErr w:type="spellEnd"/>
      <w:r w:rsidRPr="00F103E7">
        <w:rPr>
          <w:rFonts w:ascii="Aptos" w:hAnsi="Aptos" w:cs="Segoe UI"/>
          <w:color w:val="242424"/>
        </w:rPr>
        <w:t xml:space="preserve"> Hardware Solution lub równoważnym). </w:t>
      </w:r>
    </w:p>
    <w:p w14:paraId="222CCD94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 3. Procesor Wielordzeniowy procesor x86 najnowszej generacji z wbudowanym dedykowanym układem wspomagania sztucznej inteligencji (NPU). Minimum 14 rdzeni fizycznych (minimum 6 rdzeni wydajnościowych P-</w:t>
      </w:r>
      <w:proofErr w:type="spellStart"/>
      <w:r w:rsidRPr="00F103E7">
        <w:rPr>
          <w:rFonts w:ascii="Aptos" w:hAnsi="Aptos" w:cs="Segoe UI"/>
          <w:color w:val="242424"/>
        </w:rPr>
        <w:t>core</w:t>
      </w:r>
      <w:proofErr w:type="spellEnd"/>
      <w:r w:rsidRPr="00F103E7">
        <w:rPr>
          <w:rFonts w:ascii="Aptos" w:hAnsi="Aptos" w:cs="Segoe UI"/>
          <w:color w:val="242424"/>
        </w:rPr>
        <w:t xml:space="preserve"> i 8 rdzeni energooszczędnych E-</w:t>
      </w:r>
      <w:proofErr w:type="spellStart"/>
      <w:r w:rsidRPr="00F103E7">
        <w:rPr>
          <w:rFonts w:ascii="Aptos" w:hAnsi="Aptos" w:cs="Segoe UI"/>
          <w:color w:val="242424"/>
        </w:rPr>
        <w:t>core</w:t>
      </w:r>
      <w:proofErr w:type="spellEnd"/>
      <w:r w:rsidRPr="00F103E7">
        <w:rPr>
          <w:rFonts w:ascii="Aptos" w:hAnsi="Aptos" w:cs="Segoe UI"/>
          <w:color w:val="242424"/>
        </w:rPr>
        <w:t xml:space="preserve">). Taktowanie w trybie Turbo minimum 5.0 GHz. Pamięć podręczna (Cache) minimum 24 MB. Wydajność mierzona w teście </w:t>
      </w:r>
      <w:proofErr w:type="spellStart"/>
      <w:r w:rsidRPr="00F103E7">
        <w:rPr>
          <w:rFonts w:ascii="Aptos" w:hAnsi="Aptos" w:cs="Segoe UI"/>
          <w:color w:val="242424"/>
        </w:rPr>
        <w:t>PassMark</w:t>
      </w:r>
      <w:proofErr w:type="spellEnd"/>
      <w:r w:rsidRPr="00F103E7">
        <w:rPr>
          <w:rFonts w:ascii="Aptos" w:hAnsi="Aptos" w:cs="Segoe UI"/>
          <w:color w:val="242424"/>
        </w:rPr>
        <w:t xml:space="preserve"> dla procesora na poziomie minimum 39 000 punktów. </w:t>
      </w:r>
    </w:p>
    <w:p w14:paraId="2BD75BAB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 4. Zarządzanie sprzętowe | Pełna, sprzętowa technologia zdalnego zarządzania komputerem na poziomie przedsiębiorstwa – wymagane wsparcie dla standardu Intel </w:t>
      </w:r>
      <w:proofErr w:type="spellStart"/>
      <w:r w:rsidRPr="00F103E7">
        <w:rPr>
          <w:rFonts w:ascii="Aptos" w:hAnsi="Aptos" w:cs="Segoe UI"/>
          <w:color w:val="242424"/>
        </w:rPr>
        <w:t>vPro</w:t>
      </w:r>
      <w:proofErr w:type="spellEnd"/>
      <w:r w:rsidRPr="00F103E7">
        <w:rPr>
          <w:rFonts w:ascii="Aptos" w:hAnsi="Aptos" w:cs="Segoe UI"/>
          <w:color w:val="242424"/>
        </w:rPr>
        <w:t xml:space="preserve"> Enterprise lub w pełni równoważnego rozwiązania sprzętowego innego producenta (np. AMD PRO </w:t>
      </w:r>
      <w:proofErr w:type="spellStart"/>
      <w:r w:rsidRPr="00F103E7">
        <w:rPr>
          <w:rFonts w:ascii="Aptos" w:hAnsi="Aptos" w:cs="Segoe UI"/>
          <w:color w:val="242424"/>
        </w:rPr>
        <w:t>Manageability</w:t>
      </w:r>
      <w:proofErr w:type="spellEnd"/>
      <w:r w:rsidRPr="00F103E7">
        <w:rPr>
          <w:rFonts w:ascii="Aptos" w:hAnsi="Aptos" w:cs="Segoe UI"/>
          <w:color w:val="242424"/>
        </w:rPr>
        <w:t xml:space="preserve">), umożliwiającego zarządzanie stacją poza pasmem (Out-of-Band). </w:t>
      </w:r>
    </w:p>
    <w:p w14:paraId="7FE46BBC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5.  Pamięć RAM | Minimum 32 GB pamięci RAM DDR5 działającej w trybie wielokanałowym. Architektura płyty głównej musi umożliwiać późniejszą rozbudowę pamięci do minimum 64 GB poprzez fabryczne gniazda SO-DIMM. </w:t>
      </w:r>
    </w:p>
    <w:p w14:paraId="79060979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 6.  Pamięć masowa (SSD) | Dysk SSD o pojemności minimum 512 GB M.2 </w:t>
      </w:r>
      <w:proofErr w:type="spellStart"/>
      <w:r w:rsidRPr="00F103E7">
        <w:rPr>
          <w:rFonts w:ascii="Aptos" w:hAnsi="Aptos" w:cs="Segoe UI"/>
          <w:color w:val="242424"/>
        </w:rPr>
        <w:t>NVMe</w:t>
      </w:r>
      <w:proofErr w:type="spellEnd"/>
      <w:r w:rsidRPr="00F103E7">
        <w:rPr>
          <w:rFonts w:ascii="Aptos" w:hAnsi="Aptos" w:cs="Segoe UI"/>
          <w:color w:val="242424"/>
        </w:rPr>
        <w:t xml:space="preserve"> </w:t>
      </w:r>
      <w:proofErr w:type="spellStart"/>
      <w:r w:rsidRPr="00F103E7">
        <w:rPr>
          <w:rFonts w:ascii="Aptos" w:hAnsi="Aptos" w:cs="Segoe UI"/>
          <w:color w:val="242424"/>
        </w:rPr>
        <w:t>PCIe</w:t>
      </w:r>
      <w:proofErr w:type="spellEnd"/>
      <w:r w:rsidRPr="00F103E7">
        <w:rPr>
          <w:rFonts w:ascii="Aptos" w:hAnsi="Aptos" w:cs="Segoe UI"/>
          <w:color w:val="242424"/>
        </w:rPr>
        <w:t xml:space="preserve">. Architektura płyty głównej komputera musi fabrycznie oferować możliwość instalacji i jednoczesnej pracy do 3 niezależnych dysków SSD M.2 bez konieczności stosowania zewnętrznych adapterów. </w:t>
      </w:r>
    </w:p>
    <w:p w14:paraId="77A662A9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 7.  Kamera i Multimedia | Wbudowana kamera wideo o rozdzielczości minimum 5 MP ze zintegrowaną fizyczną osłoną prywatności (mechaniczny suwak lub konstrukcja chowana w obudowie). Wbudowane głośniki stereo oraz układ mikrofonów kierunkowych. Czytnik kart pamięci standardu minimum 3-w-1. </w:t>
      </w:r>
    </w:p>
    <w:p w14:paraId="4523E967" w14:textId="77777777" w:rsidR="00AC6C7C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 8. Łączność i porty | Karta sieci bezprzewodowej Wi-Fi 6E (802.11ax) lub nowsza z </w:t>
      </w:r>
      <w:proofErr w:type="spellStart"/>
      <w:r w:rsidRPr="00F103E7">
        <w:rPr>
          <w:rFonts w:ascii="Aptos" w:hAnsi="Aptos" w:cs="Segoe UI"/>
          <w:color w:val="242424"/>
        </w:rPr>
        <w:t>vPro</w:t>
      </w:r>
      <w:proofErr w:type="spellEnd"/>
      <w:r w:rsidRPr="00F103E7">
        <w:rPr>
          <w:rFonts w:ascii="Aptos" w:hAnsi="Aptos" w:cs="Segoe UI"/>
          <w:color w:val="242424"/>
        </w:rPr>
        <w:t xml:space="preserve"> + Bluetooth min. 5.3. Port sieciowy RJ45 1 </w:t>
      </w:r>
      <w:proofErr w:type="spellStart"/>
      <w:r w:rsidRPr="00F103E7">
        <w:rPr>
          <w:rFonts w:ascii="Aptos" w:hAnsi="Aptos" w:cs="Segoe UI"/>
          <w:color w:val="242424"/>
        </w:rPr>
        <w:t>Gb</w:t>
      </w:r>
      <w:proofErr w:type="spellEnd"/>
      <w:r w:rsidRPr="00F103E7">
        <w:rPr>
          <w:rFonts w:ascii="Aptos" w:hAnsi="Aptos" w:cs="Segoe UI"/>
          <w:color w:val="242424"/>
        </w:rPr>
        <w:t>/s.</w:t>
      </w:r>
      <w:r>
        <w:rPr>
          <w:rFonts w:ascii="Aptos" w:hAnsi="Aptos" w:cs="Segoe UI"/>
          <w:color w:val="242424"/>
        </w:rPr>
        <w:t xml:space="preserve"> </w:t>
      </w:r>
      <w:r w:rsidRPr="00F103E7">
        <w:rPr>
          <w:rFonts w:ascii="Aptos" w:hAnsi="Aptos" w:cs="Segoe UI"/>
          <w:color w:val="242424"/>
        </w:rPr>
        <w:t>Fizyczne porty:</w:t>
      </w:r>
    </w:p>
    <w:p w14:paraId="0DBDDF93" w14:textId="77777777" w:rsidR="00AC6C7C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• 2 x USB-A min. 10 </w:t>
      </w:r>
      <w:proofErr w:type="spellStart"/>
      <w:r w:rsidRPr="00F103E7">
        <w:rPr>
          <w:rFonts w:ascii="Aptos" w:hAnsi="Aptos" w:cs="Segoe UI"/>
          <w:color w:val="242424"/>
        </w:rPr>
        <w:t>Gbps</w:t>
      </w:r>
      <w:proofErr w:type="spellEnd"/>
      <w:r w:rsidRPr="00F103E7">
        <w:rPr>
          <w:rFonts w:ascii="Aptos" w:hAnsi="Aptos" w:cs="Segoe UI"/>
          <w:color w:val="242424"/>
        </w:rPr>
        <w:t xml:space="preserve"> (USB 3.2 Gen 2);</w:t>
      </w:r>
    </w:p>
    <w:p w14:paraId="4836C4FF" w14:textId="77777777" w:rsidR="00AC6C7C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lastRenderedPageBreak/>
        <w:t xml:space="preserve">• 2 x USB-A min. 5 </w:t>
      </w:r>
      <w:proofErr w:type="spellStart"/>
      <w:r w:rsidRPr="00F103E7">
        <w:rPr>
          <w:rFonts w:ascii="Aptos" w:hAnsi="Aptos" w:cs="Segoe UI"/>
          <w:color w:val="242424"/>
        </w:rPr>
        <w:t>Gbps</w:t>
      </w:r>
      <w:proofErr w:type="spellEnd"/>
      <w:r w:rsidRPr="00F103E7">
        <w:rPr>
          <w:rFonts w:ascii="Aptos" w:hAnsi="Aptos" w:cs="Segoe UI"/>
          <w:color w:val="242424"/>
        </w:rPr>
        <w:t xml:space="preserve"> (USB 3.2 Gen 1);</w:t>
      </w:r>
    </w:p>
    <w:p w14:paraId="7830461F" w14:textId="77777777" w:rsidR="00AC6C7C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• 1 x USB-C </w:t>
      </w:r>
      <w:proofErr w:type="spellStart"/>
      <w:r w:rsidRPr="00F103E7">
        <w:rPr>
          <w:rFonts w:ascii="Aptos" w:hAnsi="Aptos" w:cs="Segoe UI"/>
          <w:color w:val="242424"/>
        </w:rPr>
        <w:t>Thunderbolt</w:t>
      </w:r>
      <w:proofErr w:type="spellEnd"/>
      <w:r w:rsidRPr="00F103E7">
        <w:rPr>
          <w:rFonts w:ascii="Aptos" w:hAnsi="Aptos" w:cs="Segoe UI"/>
          <w:color w:val="242424"/>
        </w:rPr>
        <w:t xml:space="preserve"> 4 / USB4 (40 </w:t>
      </w:r>
      <w:proofErr w:type="spellStart"/>
      <w:r w:rsidRPr="00F103E7">
        <w:rPr>
          <w:rFonts w:ascii="Aptos" w:hAnsi="Aptos" w:cs="Segoe UI"/>
          <w:color w:val="242424"/>
        </w:rPr>
        <w:t>Gbps</w:t>
      </w:r>
      <w:proofErr w:type="spellEnd"/>
      <w:r w:rsidRPr="00F103E7">
        <w:rPr>
          <w:rFonts w:ascii="Aptos" w:hAnsi="Aptos" w:cs="Segoe UI"/>
          <w:color w:val="242424"/>
        </w:rPr>
        <w:t xml:space="preserve">) z obsługą DP i Power Delivery (PD 3.0) do min. 65W oraz funkcją </w:t>
      </w:r>
      <w:proofErr w:type="spellStart"/>
      <w:r w:rsidRPr="00F103E7">
        <w:rPr>
          <w:rFonts w:ascii="Aptos" w:hAnsi="Aptos" w:cs="Segoe UI"/>
          <w:color w:val="242424"/>
        </w:rPr>
        <w:t>AlwaysOn</w:t>
      </w:r>
      <w:proofErr w:type="spellEnd"/>
      <w:r w:rsidRPr="00F103E7">
        <w:rPr>
          <w:rFonts w:ascii="Aptos" w:hAnsi="Aptos" w:cs="Segoe UI"/>
          <w:color w:val="242424"/>
        </w:rPr>
        <w:t>;</w:t>
      </w:r>
    </w:p>
    <w:p w14:paraId="6EFF0B25" w14:textId="77777777" w:rsidR="00AC6C7C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• 1 x USB-C min. 10 </w:t>
      </w:r>
      <w:proofErr w:type="spellStart"/>
      <w:r w:rsidRPr="00F103E7">
        <w:rPr>
          <w:rFonts w:ascii="Aptos" w:hAnsi="Aptos" w:cs="Segoe UI"/>
          <w:color w:val="242424"/>
        </w:rPr>
        <w:t>Gbps</w:t>
      </w:r>
      <w:proofErr w:type="spellEnd"/>
      <w:r w:rsidRPr="00F103E7">
        <w:rPr>
          <w:rFonts w:ascii="Aptos" w:hAnsi="Aptos" w:cs="Segoe UI"/>
          <w:color w:val="242424"/>
        </w:rPr>
        <w:t xml:space="preserve"> z funkcją ładowania zewnętrznych urządzeń (min. 5V / 3A);</w:t>
      </w:r>
    </w:p>
    <w:p w14:paraId="495B7C42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• 1 x wejście lub wyjście HDMI oraz 1 x wejście lub wyjście </w:t>
      </w:r>
      <w:proofErr w:type="spellStart"/>
      <w:r w:rsidRPr="00F103E7">
        <w:rPr>
          <w:rFonts w:ascii="Aptos" w:hAnsi="Aptos" w:cs="Segoe UI"/>
          <w:color w:val="242424"/>
        </w:rPr>
        <w:t>DisplayPort</w:t>
      </w:r>
      <w:proofErr w:type="spellEnd"/>
      <w:r w:rsidRPr="00F103E7">
        <w:rPr>
          <w:rFonts w:ascii="Aptos" w:hAnsi="Aptos" w:cs="Segoe UI"/>
          <w:color w:val="242424"/>
        </w:rPr>
        <w:t xml:space="preserve">. </w:t>
      </w:r>
    </w:p>
    <w:p w14:paraId="55BAC685" w14:textId="77777777" w:rsidR="00AC6C7C" w:rsidRPr="00F103E7" w:rsidRDefault="00AC6C7C" w:rsidP="00AC6C7C">
      <w:pPr>
        <w:pStyle w:val="xmsonormal"/>
        <w:shd w:val="clear" w:color="auto" w:fill="FFFFFF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 xml:space="preserve">9. Bezpieczeństwo i OS | Układ kryptograficzny TPM 2.0. Certyfikaty bezpieczeństwa standardu TCG oraz FIPS 140-2. System Microsoft Windows 11 Pro 64-bit PL preinstalowany fabrycznie (licencja OEM/ESD). </w:t>
      </w:r>
    </w:p>
    <w:p w14:paraId="795EAE49" w14:textId="77777777" w:rsidR="00AC6C7C" w:rsidRDefault="00AC6C7C" w:rsidP="00AC6C7C">
      <w:pPr>
        <w:pStyle w:val="xmsonormal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>10. Gwarancja i Serwis  Gwarancja producenta na okres minimum 5 lat (60 miesięcy) typu On-Site NBD (w miejscu instalacji, następny dzień roboczy).</w:t>
      </w:r>
    </w:p>
    <w:p w14:paraId="40511BC8" w14:textId="77777777" w:rsidR="00AC6C7C" w:rsidRPr="00FC2AB1" w:rsidRDefault="00AC6C7C" w:rsidP="00AC6C7C">
      <w:pPr>
        <w:pStyle w:val="xmsonormal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="Aptos" w:hAnsi="Aptos" w:cs="Segoe UI"/>
          <w:color w:val="242424"/>
        </w:rPr>
      </w:pPr>
      <w:r w:rsidRPr="00F103E7">
        <w:rPr>
          <w:rFonts w:ascii="Aptos" w:hAnsi="Aptos" w:cs="Segoe UI"/>
          <w:color w:val="242424"/>
        </w:rPr>
        <w:t>Gwarancja musi bezwzględnie obejmować klauzulę pozostawienia uszkodzonego dysku twardego u klienta (</w:t>
      </w:r>
      <w:proofErr w:type="spellStart"/>
      <w:r w:rsidRPr="00F103E7">
        <w:rPr>
          <w:rFonts w:ascii="Aptos" w:hAnsi="Aptos" w:cs="Segoe UI"/>
          <w:color w:val="242424"/>
        </w:rPr>
        <w:t>Keep</w:t>
      </w:r>
      <w:proofErr w:type="spellEnd"/>
      <w:r w:rsidRPr="00F103E7">
        <w:rPr>
          <w:rFonts w:ascii="Aptos" w:hAnsi="Aptos" w:cs="Segoe UI"/>
          <w:color w:val="242424"/>
        </w:rPr>
        <w:t xml:space="preserve"> </w:t>
      </w:r>
      <w:proofErr w:type="spellStart"/>
      <w:r w:rsidRPr="00F103E7">
        <w:rPr>
          <w:rFonts w:ascii="Aptos" w:hAnsi="Aptos" w:cs="Segoe UI"/>
          <w:color w:val="242424"/>
        </w:rPr>
        <w:t>Your</w:t>
      </w:r>
      <w:proofErr w:type="spellEnd"/>
      <w:r w:rsidRPr="00F103E7">
        <w:rPr>
          <w:rFonts w:ascii="Aptos" w:hAnsi="Aptos" w:cs="Segoe UI"/>
          <w:color w:val="242424"/>
        </w:rPr>
        <w:t xml:space="preserve"> Hard Drive / </w:t>
      </w:r>
      <w:proofErr w:type="spellStart"/>
      <w:r w:rsidRPr="00F103E7">
        <w:rPr>
          <w:rFonts w:ascii="Aptos" w:hAnsi="Aptos" w:cs="Segoe UI"/>
          <w:color w:val="242424"/>
        </w:rPr>
        <w:t>Defective</w:t>
      </w:r>
      <w:proofErr w:type="spellEnd"/>
      <w:r w:rsidRPr="00F103E7">
        <w:rPr>
          <w:rFonts w:ascii="Aptos" w:hAnsi="Aptos" w:cs="Segoe UI"/>
          <w:color w:val="242424"/>
        </w:rPr>
        <w:t xml:space="preserve"> Media </w:t>
      </w:r>
      <w:proofErr w:type="spellStart"/>
      <w:r w:rsidRPr="00F103E7">
        <w:rPr>
          <w:rFonts w:ascii="Aptos" w:hAnsi="Aptos" w:cs="Segoe UI"/>
          <w:color w:val="242424"/>
        </w:rPr>
        <w:t>Retention</w:t>
      </w:r>
      <w:proofErr w:type="spellEnd"/>
      <w:r w:rsidRPr="00F103E7">
        <w:rPr>
          <w:rFonts w:ascii="Aptos" w:hAnsi="Aptos" w:cs="Segoe UI"/>
          <w:color w:val="242424"/>
        </w:rPr>
        <w:t xml:space="preserve">) – w przypadku awarii nośnika danych, serwis dostarcza nowy dysk, a uszkodzony pozostaje własnością Zamawiającego. </w:t>
      </w:r>
    </w:p>
    <w:p w14:paraId="68EDA1CD" w14:textId="77777777" w:rsidR="00473380" w:rsidRDefault="00473380"/>
    <w:sectPr w:rsidR="004733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9782" w14:textId="77777777" w:rsidR="00F70D34" w:rsidRDefault="00F70D34" w:rsidP="00A53DF6">
      <w:pPr>
        <w:spacing w:after="0" w:line="240" w:lineRule="auto"/>
      </w:pPr>
      <w:r>
        <w:separator/>
      </w:r>
    </w:p>
  </w:endnote>
  <w:endnote w:type="continuationSeparator" w:id="0">
    <w:p w14:paraId="26C3BB3A" w14:textId="77777777" w:rsidR="00F70D34" w:rsidRDefault="00F70D34" w:rsidP="00A53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E8EA2" w14:textId="77777777" w:rsidR="00F70D34" w:rsidRDefault="00F70D34" w:rsidP="00A53DF6">
      <w:pPr>
        <w:spacing w:after="0" w:line="240" w:lineRule="auto"/>
      </w:pPr>
      <w:r>
        <w:separator/>
      </w:r>
    </w:p>
  </w:footnote>
  <w:footnote w:type="continuationSeparator" w:id="0">
    <w:p w14:paraId="563D0A34" w14:textId="77777777" w:rsidR="00F70D34" w:rsidRDefault="00F70D34" w:rsidP="00A53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59D7" w14:textId="6EB930D4" w:rsidR="00A53DF6" w:rsidRDefault="00A53DF6">
    <w:pPr>
      <w:pStyle w:val="Nagwek"/>
    </w:pPr>
    <w:r>
      <w:rPr>
        <w:noProof/>
      </w:rPr>
      <w:drawing>
        <wp:inline distT="0" distB="0" distL="0" distR="0" wp14:anchorId="519314D9" wp14:editId="1293AEF6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F45FD"/>
    <w:multiLevelType w:val="hybridMultilevel"/>
    <w:tmpl w:val="B418A732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670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7C"/>
    <w:rsid w:val="002318A0"/>
    <w:rsid w:val="003C0578"/>
    <w:rsid w:val="00473380"/>
    <w:rsid w:val="00532F7B"/>
    <w:rsid w:val="005679D0"/>
    <w:rsid w:val="006D3522"/>
    <w:rsid w:val="00971CE8"/>
    <w:rsid w:val="00A53DF6"/>
    <w:rsid w:val="00AC6C7C"/>
    <w:rsid w:val="00B076D4"/>
    <w:rsid w:val="00D870FC"/>
    <w:rsid w:val="00F7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7E07"/>
  <w15:chartTrackingRefBased/>
  <w15:docId w15:val="{38584C5E-B4CF-4AE7-9A62-40B35BFB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6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C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C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C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C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C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C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6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6C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C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6C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C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C7C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ny"/>
    <w:rsid w:val="00AC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3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DF6"/>
  </w:style>
  <w:style w:type="paragraph" w:styleId="Stopka">
    <w:name w:val="footer"/>
    <w:basedOn w:val="Normalny"/>
    <w:link w:val="StopkaZnak"/>
    <w:uiPriority w:val="99"/>
    <w:unhideWhenUsed/>
    <w:rsid w:val="00A53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Zarańska</dc:creator>
  <cp:keywords/>
  <dc:description/>
  <cp:lastModifiedBy>Fatyga Przemysław</cp:lastModifiedBy>
  <cp:revision>5</cp:revision>
  <dcterms:created xsi:type="dcterms:W3CDTF">2026-07-06T06:07:00Z</dcterms:created>
  <dcterms:modified xsi:type="dcterms:W3CDTF">2026-07-13T06:37:00Z</dcterms:modified>
</cp:coreProperties>
</file>